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343" w14:textId="27D21555" w:rsidR="00B52FE8" w:rsidRDefault="00532306" w:rsidP="00B52FE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7" behindDoc="1" locked="0" layoutInCell="1" allowOverlap="1" wp14:anchorId="0DE1FB80" wp14:editId="07F78139">
            <wp:simplePos x="0" y="0"/>
            <wp:positionH relativeFrom="column">
              <wp:posOffset>-280167</wp:posOffset>
            </wp:positionH>
            <wp:positionV relativeFrom="page">
              <wp:posOffset>122764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1481809205" name="Picture 7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09205" name="Picture 7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B1F" w:rsidRPr="00E40A04">
        <w:rPr>
          <w:noProof/>
          <w:sz w:val="36"/>
          <w:szCs w:val="36"/>
        </w:rPr>
        <w:drawing>
          <wp:anchor distT="0" distB="0" distL="114300" distR="114300" simplePos="0" relativeHeight="251639808" behindDoc="1" locked="0" layoutInCell="1" allowOverlap="1" wp14:anchorId="62AD3D62" wp14:editId="0E7F6E02">
            <wp:simplePos x="0" y="0"/>
            <wp:positionH relativeFrom="page">
              <wp:posOffset>13648</wp:posOffset>
            </wp:positionH>
            <wp:positionV relativeFrom="page">
              <wp:align>top</wp:align>
            </wp:positionV>
            <wp:extent cx="7552864" cy="1583140"/>
            <wp:effectExtent l="0" t="0" r="0" b="0"/>
            <wp:wrapTight wrapText="bothSides">
              <wp:wrapPolygon edited="0">
                <wp:start x="0" y="0"/>
                <wp:lineTo x="0" y="21314"/>
                <wp:lineTo x="21520" y="21314"/>
                <wp:lineTo x="21520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64" cy="158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8E" w:rsidRPr="00E40A04">
        <w:rPr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4B28AC17" wp14:editId="36A9B508">
            <wp:simplePos x="0" y="0"/>
            <wp:positionH relativeFrom="margin">
              <wp:posOffset>6404582</wp:posOffset>
            </wp:positionH>
            <wp:positionV relativeFrom="page">
              <wp:align>top</wp:align>
            </wp:positionV>
            <wp:extent cx="593090" cy="1528445"/>
            <wp:effectExtent l="0" t="0" r="0" b="0"/>
            <wp:wrapTight wrapText="bothSides">
              <wp:wrapPolygon edited="0">
                <wp:start x="2775" y="0"/>
                <wp:lineTo x="0" y="0"/>
                <wp:lineTo x="0" y="17230"/>
                <wp:lineTo x="694" y="20999"/>
                <wp:lineTo x="3469" y="21268"/>
                <wp:lineTo x="16651" y="21268"/>
                <wp:lineTo x="20120" y="20999"/>
                <wp:lineTo x="20814" y="20460"/>
                <wp:lineTo x="20120" y="269"/>
                <wp:lineTo x="17345" y="0"/>
                <wp:lineTo x="2775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A04" w:rsidRPr="00E40A04">
        <w:rPr>
          <w:sz w:val="36"/>
          <w:szCs w:val="36"/>
        </w:rPr>
        <w:t>How to support</w:t>
      </w:r>
      <w:r w:rsidR="00C62EE0">
        <w:rPr>
          <w:sz w:val="36"/>
          <w:szCs w:val="36"/>
        </w:rPr>
        <w:t xml:space="preserve"> </w:t>
      </w:r>
      <w:r w:rsidR="007A65EA">
        <w:rPr>
          <w:sz w:val="36"/>
          <w:szCs w:val="36"/>
        </w:rPr>
        <w:t>an autistic person</w:t>
      </w:r>
      <w:r w:rsidR="00E40A04" w:rsidRPr="00E40A04">
        <w:rPr>
          <w:sz w:val="36"/>
          <w:szCs w:val="36"/>
        </w:rPr>
        <w:t xml:space="preserve"> using Five to Thriv</w:t>
      </w:r>
      <w:r w:rsidR="00D355EC">
        <w:rPr>
          <w:sz w:val="36"/>
          <w:szCs w:val="36"/>
        </w:rPr>
        <w:t>e</w:t>
      </w:r>
    </w:p>
    <w:p w14:paraId="475988F5" w14:textId="77777777" w:rsidR="00D355EC" w:rsidRDefault="00D355EC" w:rsidP="00B52FE8">
      <w:pPr>
        <w:jc w:val="center"/>
        <w:rPr>
          <w:sz w:val="36"/>
          <w:szCs w:val="36"/>
        </w:rPr>
      </w:pPr>
    </w:p>
    <w:p w14:paraId="00E946A1" w14:textId="6BB89D8C" w:rsidR="007A65EA" w:rsidRPr="007A65EA" w:rsidRDefault="007C4C6A" w:rsidP="007A65EA">
      <w:pPr>
        <w:pStyle w:val="paragraph"/>
        <w:spacing w:before="0" w:beforeAutospacing="0" w:after="0" w:afterAutospacing="0"/>
        <w:textAlignment w:val="baseline"/>
        <w:rPr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</w:t>
      </w:r>
      <w:r w:rsidR="007A65EA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 xml:space="preserve"> </w:t>
      </w:r>
      <w:r w:rsidR="007A65EA" w:rsidRPr="007A65EA">
        <w:rPr>
          <w:rFonts w:asciiTheme="minorHAnsi" w:hAnsiTheme="minorHAnsi" w:cs="Segoe UI"/>
          <w:b/>
          <w:bCs/>
          <w:sz w:val="32"/>
          <w:szCs w:val="32"/>
        </w:rPr>
        <w:t>Building Trust and Safety</w:t>
      </w:r>
    </w:p>
    <w:p w14:paraId="13DE99D4" w14:textId="70072596" w:rsidR="00B52FE8" w:rsidRPr="007A65EA" w:rsidRDefault="007A65EA" w:rsidP="007A65EA">
      <w:pPr>
        <w:pStyle w:val="paragraph"/>
        <w:textAlignment w:val="baseline"/>
        <w:rPr>
          <w:rFonts w:asciiTheme="minorHAnsi" w:hAnsiTheme="minorHAnsi" w:cs="Segoe UI"/>
          <w:sz w:val="32"/>
          <w:szCs w:val="32"/>
        </w:rPr>
      </w:pPr>
      <w:r w:rsidRPr="007A65EA">
        <w:rPr>
          <w:rFonts w:asciiTheme="minorHAnsi" w:hAnsiTheme="minorHAnsi" w:cs="Segoe UI"/>
          <w:sz w:val="32"/>
          <w:szCs w:val="32"/>
        </w:rPr>
        <w:t>Autistic children often experience the world differently and may have heightened sensitivities or communication challenges.</w:t>
      </w:r>
      <w:r w:rsidRPr="007A65EA">
        <w:rPr>
          <w:rFonts w:asciiTheme="minorHAnsi" w:hAnsiTheme="minorHAnsi" w:cs="Segoe UI"/>
          <w:sz w:val="32"/>
          <w:szCs w:val="32"/>
        </w:rPr>
        <w:t xml:space="preserve"> </w:t>
      </w:r>
      <w:r w:rsidRPr="007A65EA">
        <w:rPr>
          <w:rFonts w:asciiTheme="minorHAnsi" w:hAnsiTheme="minorHAnsi" w:cs="Segoe UI"/>
          <w:sz w:val="32"/>
          <w:szCs w:val="32"/>
        </w:rPr>
        <w:t>Consistently responding to their cues—whether verbal or non-verbal—helps them feel safe, understood, and valued. This builds trust and supports emotional regulation</w:t>
      </w:r>
    </w:p>
    <w:p w14:paraId="54F53241" w14:textId="566843BE" w:rsidR="007A65EA" w:rsidRPr="007A65EA" w:rsidRDefault="00EA2EDF" w:rsidP="007A65EA">
      <w:pPr>
        <w:pStyle w:val="paragraph"/>
        <w:spacing w:before="0" w:beforeAutospacing="0" w:after="0" w:afterAutospacing="0"/>
        <w:textAlignment w:val="baseline"/>
        <w:rPr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  <w:r w:rsidR="007A65EA" w:rsidRPr="007A65EA">
        <w:rPr>
          <w:rFonts w:asciiTheme="minorHAnsi" w:eastAsiaTheme="majorEastAsia" w:hAnsiTheme="minorHAnsi" w:cs="Mangal Pro"/>
          <w:b/>
          <w:bCs/>
          <w:sz w:val="32"/>
          <w:szCs w:val="32"/>
        </w:rPr>
        <w:t>Strengthening Connection</w:t>
      </w:r>
    </w:p>
    <w:p w14:paraId="54F10394" w14:textId="280F2531" w:rsidR="00EA2EDF" w:rsidRPr="007A65EA" w:rsidRDefault="007A65EA" w:rsidP="007A65EA">
      <w:pPr>
        <w:pStyle w:val="paragraph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Physical closeness or emotional engagement helps regulate stress and supports attachment.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 xml:space="preserve"> 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>For children who enjoy physical touch, cuddling can be calming. For those who don’t, “engage” might mean sitting nearby, making eye contact, or sharing a special interest (like trains or space). It’s about connecting in a way that suits the child.</w:t>
      </w:r>
    </w:p>
    <w:p w14:paraId="1A7E88CC" w14:textId="77777777" w:rsidR="007A65EA" w:rsidRPr="007A65EA" w:rsidRDefault="00EA2EDF" w:rsidP="007A65EA">
      <w:pPr>
        <w:pStyle w:val="paragraph"/>
        <w:spacing w:after="0"/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  <w:r w:rsidR="007A65EA" w:rsidRPr="007A65EA">
        <w:rPr>
          <w:rFonts w:asciiTheme="minorHAnsi" w:eastAsiaTheme="majorEastAsia" w:hAnsiTheme="minorHAnsi" w:cs="Mangal Pro"/>
          <w:b/>
          <w:bCs/>
          <w:sz w:val="32"/>
          <w:szCs w:val="32"/>
        </w:rPr>
        <w:t>Supporting Self-Regulation</w:t>
      </w:r>
    </w:p>
    <w:p w14:paraId="2AF3A68D" w14:textId="4C9E07FA" w:rsidR="00B52FE8" w:rsidRPr="007A65EA" w:rsidRDefault="007A65EA" w:rsidP="007A65EA">
      <w:pPr>
        <w:pStyle w:val="paragraph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Many autistic children struggle with anxiety or sensory overload.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 xml:space="preserve"> 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>Creating predictable routines, using visual schedules, and offering calming activities (like sensory play or quiet time) can help children feel more in control and less overwhelmed.</w:t>
      </w:r>
    </w:p>
    <w:p w14:paraId="4FB1EAA9" w14:textId="77777777" w:rsidR="007A65EA" w:rsidRDefault="00EA2EDF" w:rsidP="007A65EA">
      <w:pPr>
        <w:pStyle w:val="paragraph"/>
        <w:spacing w:after="0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Play:</w:t>
      </w:r>
      <w:r w:rsidR="007A65EA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 xml:space="preserve"> </w:t>
      </w:r>
      <w:r w:rsidR="007A65EA" w:rsidRPr="007A65EA">
        <w:rPr>
          <w:rFonts w:asciiTheme="minorHAnsi" w:eastAsiaTheme="majorEastAsia" w:hAnsiTheme="minorHAnsi" w:cs="Mangal Pro"/>
          <w:b/>
          <w:bCs/>
          <w:sz w:val="32"/>
          <w:szCs w:val="32"/>
        </w:rPr>
        <w:t>Encouraging Learning and Expression</w:t>
      </w:r>
    </w:p>
    <w:p w14:paraId="2A6DFC7C" w14:textId="3B4BDA13" w:rsidR="00B52FE8" w:rsidRDefault="007A65EA" w:rsidP="007A65EA">
      <w:pPr>
        <w:pStyle w:val="paragraph"/>
        <w:spacing w:after="0"/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Play is a natural way for children to learn and express themselves.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 xml:space="preserve"> 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>Following the child’s lead in play—especially around their special interests—can boost communication, social interaction, and confidence. For example, using trains to teach counting or storytelling</w:t>
      </w:r>
    </w:p>
    <w:p w14:paraId="42FC63CE" w14:textId="77777777" w:rsidR="007A65EA" w:rsidRPr="007A65EA" w:rsidRDefault="007A65EA" w:rsidP="007A65EA">
      <w:pPr>
        <w:pStyle w:val="paragraph"/>
        <w:spacing w:after="0"/>
        <w:textAlignment w:val="baseline"/>
        <w:rPr>
          <w:rStyle w:val="normaltextrun"/>
          <w:rFonts w:asciiTheme="minorHAnsi" w:eastAsiaTheme="majorEastAsia" w:hAnsiTheme="minorHAnsi" w:cs="Mangal Pro"/>
          <w:sz w:val="32"/>
          <w:szCs w:val="32"/>
        </w:rPr>
      </w:pPr>
    </w:p>
    <w:p w14:paraId="74904364" w14:textId="60492804" w:rsidR="00EA2EDF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lastRenderedPageBreak/>
        <w:t>    </w:t>
      </w:r>
      <w:r w:rsidRPr="00B52FE8">
        <w:rPr>
          <w:rStyle w:val="eop"/>
          <w:rFonts w:asciiTheme="minorHAnsi" w:eastAsiaTheme="majorEastAsia" w:hAnsiTheme="minorHAnsi" w:cs="Mangal Pro"/>
          <w:sz w:val="32"/>
          <w:szCs w:val="32"/>
        </w:rPr>
        <w:t> </w:t>
      </w:r>
    </w:p>
    <w:p w14:paraId="47DFC7C1" w14:textId="77777777" w:rsidR="007A65EA" w:rsidRPr="007A65EA" w:rsidRDefault="00EA2EDF" w:rsidP="007A65EA">
      <w:pPr>
        <w:pStyle w:val="paragraph"/>
        <w:spacing w:after="0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  <w:r w:rsidR="007A65EA" w:rsidRPr="007A65EA">
        <w:rPr>
          <w:rFonts w:asciiTheme="minorHAnsi" w:eastAsiaTheme="majorEastAsia" w:hAnsiTheme="minorHAnsi" w:cs="Mangal Pro"/>
          <w:b/>
          <w:bCs/>
          <w:sz w:val="32"/>
          <w:szCs w:val="32"/>
        </w:rPr>
        <w:t>Supporting Communication</w:t>
      </w:r>
    </w:p>
    <w:p w14:paraId="4D480F23" w14:textId="77EA77D1" w:rsidR="007A65EA" w:rsidRPr="007A65EA" w:rsidRDefault="007A65EA" w:rsidP="007A65EA">
      <w:pPr>
        <w:pStyle w:val="paragraph"/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Communication can be a challenge for autistic children, but it’s essential for connection and learning.</w:t>
      </w:r>
      <w:r>
        <w:rPr>
          <w:rFonts w:asciiTheme="minorHAnsi" w:eastAsiaTheme="majorEastAsia" w:hAnsiTheme="minorHAnsi" w:cs="Mangal Pro"/>
          <w:sz w:val="32"/>
          <w:szCs w:val="32"/>
        </w:rPr>
        <w:t xml:space="preserve"> </w:t>
      </w:r>
      <w:r w:rsidRPr="007A65EA">
        <w:rPr>
          <w:rFonts w:asciiTheme="minorHAnsi" w:eastAsiaTheme="majorEastAsia" w:hAnsiTheme="minorHAnsi" w:cs="Mangal Pro"/>
          <w:sz w:val="32"/>
          <w:szCs w:val="32"/>
        </w:rPr>
        <w:t>Using clear, literal language, visual aids, or alternative communication methods (like PECS or AAC devices) supports understanding and expression. Talking also helps children make sense of their experiences.</w:t>
      </w:r>
    </w:p>
    <w:p w14:paraId="607982DC" w14:textId="77777777" w:rsidR="007A65EA" w:rsidRPr="007A65EA" w:rsidRDefault="007A65EA" w:rsidP="007A65EA">
      <w:pPr>
        <w:pStyle w:val="paragraph"/>
        <w:textAlignment w:val="baseline"/>
        <w:rPr>
          <w:rFonts w:asciiTheme="minorHAnsi" w:eastAsiaTheme="majorEastAsia" w:hAnsiTheme="minorHAnsi" w:cs="Mangal Pro"/>
          <w:b/>
          <w:bCs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b/>
          <w:bCs/>
          <w:sz w:val="32"/>
          <w:szCs w:val="32"/>
        </w:rPr>
        <w:t>Additional Benefits for Parents</w:t>
      </w:r>
    </w:p>
    <w:p w14:paraId="309E2743" w14:textId="77777777" w:rsidR="007A65EA" w:rsidRPr="007A65EA" w:rsidRDefault="007A65EA" w:rsidP="007A65EA">
      <w:pPr>
        <w:pStyle w:val="paragraph"/>
        <w:numPr>
          <w:ilvl w:val="0"/>
          <w:numId w:val="6"/>
        </w:numPr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Empowerment: Five to Thrive gives parents a simple, strengths-based framework they can use daily.</w:t>
      </w:r>
    </w:p>
    <w:p w14:paraId="3E54FA0D" w14:textId="77777777" w:rsidR="007A65EA" w:rsidRPr="007A65EA" w:rsidRDefault="007A65EA" w:rsidP="007A65EA">
      <w:pPr>
        <w:pStyle w:val="paragraph"/>
        <w:numPr>
          <w:ilvl w:val="0"/>
          <w:numId w:val="6"/>
        </w:numPr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Consistency: It aligns with approaches used in early years settings, helping parents and professionals work together.</w:t>
      </w:r>
    </w:p>
    <w:p w14:paraId="3F436C6B" w14:textId="1966AB2D" w:rsidR="007A65EA" w:rsidRPr="00D355EC" w:rsidRDefault="007A65EA" w:rsidP="00D355EC">
      <w:pPr>
        <w:pStyle w:val="paragraph"/>
        <w:numPr>
          <w:ilvl w:val="0"/>
          <w:numId w:val="6"/>
        </w:numPr>
        <w:textAlignment w:val="baseline"/>
        <w:rPr>
          <w:rFonts w:asciiTheme="minorHAnsi" w:eastAsiaTheme="majorEastAsia" w:hAnsiTheme="minorHAnsi" w:cs="Mangal Pro"/>
          <w:sz w:val="32"/>
          <w:szCs w:val="32"/>
        </w:rPr>
      </w:pPr>
      <w:r w:rsidRPr="007A65EA">
        <w:rPr>
          <w:rFonts w:asciiTheme="minorHAnsi" w:eastAsiaTheme="majorEastAsia" w:hAnsiTheme="minorHAnsi" w:cs="Mangal Pro"/>
          <w:sz w:val="32"/>
          <w:szCs w:val="32"/>
        </w:rPr>
        <w:t>Emotional support: It encourages parents to reflect on their own wellbeing and the importance of nurturing relationships.</w:t>
      </w:r>
    </w:p>
    <w:p w14:paraId="1D1F34CC" w14:textId="678DA016" w:rsidR="00EA2EDF" w:rsidRPr="00100D95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b/>
          <w:bCs/>
          <w:sz w:val="32"/>
          <w:szCs w:val="32"/>
        </w:rPr>
      </w:pPr>
      <w:r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</w:t>
      </w:r>
      <w:r w:rsidRPr="00B52FE8">
        <w:rPr>
          <w:rStyle w:val="eop"/>
          <w:rFonts w:asciiTheme="minorHAnsi" w:eastAsiaTheme="majorEastAsia" w:hAnsiTheme="minorHAnsi" w:cs="Mangal Pro"/>
          <w:sz w:val="32"/>
          <w:szCs w:val="32"/>
        </w:rPr>
        <w:t> </w:t>
      </w:r>
    </w:p>
    <w:p w14:paraId="52611DDC" w14:textId="38BAC8E7" w:rsidR="000C318E" w:rsidRPr="00DB5B0B" w:rsidRDefault="007C4C6A" w:rsidP="00DB5B0B">
      <w:pPr>
        <w:jc w:val="center"/>
        <w:rPr>
          <w:b/>
          <w:bCs/>
          <w:sz w:val="28"/>
          <w:szCs w:val="28"/>
        </w:rPr>
      </w:pP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25EA61" wp14:editId="253428E7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231" w:rsidRPr="00100D95">
        <w:rPr>
          <w:b/>
          <w:bCs/>
          <w:sz w:val="28"/>
          <w:szCs w:val="28"/>
        </w:rPr>
        <w:t xml:space="preserve">For more </w:t>
      </w:r>
      <w:r w:rsidR="000C318E" w:rsidRPr="00100D95">
        <w:rPr>
          <w:b/>
          <w:bCs/>
          <w:sz w:val="28"/>
          <w:szCs w:val="28"/>
        </w:rPr>
        <w:t>information,</w:t>
      </w:r>
      <w:r w:rsidR="00754231" w:rsidRPr="00100D95">
        <w:rPr>
          <w:b/>
          <w:bCs/>
          <w:sz w:val="28"/>
          <w:szCs w:val="28"/>
        </w:rPr>
        <w:t xml:space="preserve"> please </w:t>
      </w:r>
      <w:r w:rsidR="00CD7E38" w:rsidRPr="00100D95">
        <w:rPr>
          <w:b/>
          <w:bCs/>
          <w:sz w:val="28"/>
          <w:szCs w:val="28"/>
        </w:rPr>
        <w:t xml:space="preserve">visit </w:t>
      </w:r>
      <w:hyperlink r:id="rId13" w:history="1">
        <w:r w:rsidR="00CD7E38" w:rsidRPr="00100D95">
          <w:rPr>
            <w:rStyle w:val="Hyperlink"/>
            <w:b/>
            <w:bCs/>
            <w:sz w:val="28"/>
            <w:szCs w:val="28"/>
          </w:rPr>
          <w:t>FamilyHubs</w:t>
        </w:r>
        <w:r w:rsidR="007E72A4">
          <w:rPr>
            <w:rStyle w:val="Hyperlink"/>
            <w:b/>
            <w:bCs/>
            <w:sz w:val="28"/>
            <w:szCs w:val="28"/>
          </w:rPr>
          <w:t>L</w:t>
        </w:r>
        <w:r w:rsidR="00CD7E38" w:rsidRPr="00100D95">
          <w:rPr>
            <w:rStyle w:val="Hyperlink"/>
            <w:b/>
            <w:bCs/>
            <w:sz w:val="28"/>
            <w:szCs w:val="28"/>
          </w:rPr>
          <w:t>eicestershire.</w:t>
        </w:r>
        <w:r w:rsidR="000C318E" w:rsidRPr="00100D95">
          <w:rPr>
            <w:rStyle w:val="Hyperlink"/>
            <w:b/>
            <w:bCs/>
            <w:sz w:val="28"/>
            <w:szCs w:val="28"/>
          </w:rPr>
          <w:t>org.uk</w:t>
        </w:r>
      </w:hyperlink>
    </w:p>
    <w:sectPr w:rsidR="000C318E" w:rsidRPr="00DB5B0B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C30"/>
    <w:multiLevelType w:val="multilevel"/>
    <w:tmpl w:val="2D44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26DE"/>
    <w:multiLevelType w:val="multilevel"/>
    <w:tmpl w:val="755C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4DC1"/>
    <w:multiLevelType w:val="multilevel"/>
    <w:tmpl w:val="47E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51B7C"/>
    <w:multiLevelType w:val="multilevel"/>
    <w:tmpl w:val="47A8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906BF"/>
    <w:multiLevelType w:val="multilevel"/>
    <w:tmpl w:val="D956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47D38"/>
    <w:multiLevelType w:val="multilevel"/>
    <w:tmpl w:val="626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26360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00405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028430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2882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79245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4624448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0C318E"/>
    <w:rsid w:val="00100D95"/>
    <w:rsid w:val="001D1410"/>
    <w:rsid w:val="002234B6"/>
    <w:rsid w:val="002A0B62"/>
    <w:rsid w:val="003A7EB6"/>
    <w:rsid w:val="004E63B9"/>
    <w:rsid w:val="00532306"/>
    <w:rsid w:val="00754231"/>
    <w:rsid w:val="007604B6"/>
    <w:rsid w:val="007A65EA"/>
    <w:rsid w:val="007C4C6A"/>
    <w:rsid w:val="007E72A4"/>
    <w:rsid w:val="00A4490D"/>
    <w:rsid w:val="00B30B1F"/>
    <w:rsid w:val="00B4775D"/>
    <w:rsid w:val="00B52FE8"/>
    <w:rsid w:val="00B54C54"/>
    <w:rsid w:val="00B64F84"/>
    <w:rsid w:val="00B97ECD"/>
    <w:rsid w:val="00C62EE0"/>
    <w:rsid w:val="00CD7E38"/>
    <w:rsid w:val="00D355EC"/>
    <w:rsid w:val="00DB5B0B"/>
    <w:rsid w:val="00DB68E9"/>
    <w:rsid w:val="00DC3EB9"/>
    <w:rsid w:val="00DF3FBE"/>
    <w:rsid w:val="00E40A04"/>
    <w:rsid w:val="00E6455B"/>
    <w:rsid w:val="00EA2EDF"/>
    <w:rsid w:val="00EB1935"/>
    <w:rsid w:val="00ED0040"/>
    <w:rsid w:val="00FB52EA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100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57380-8173-4379-A555-897BFA06D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C9057-3CFF-4982-8694-F36CE5128DF8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256B296B-C8B7-4C0C-8AB4-B01DD47C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2013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4</cp:revision>
  <dcterms:created xsi:type="dcterms:W3CDTF">2025-10-27T10:43:00Z</dcterms:created>
  <dcterms:modified xsi:type="dcterms:W3CDTF">2025-10-27T10:48:00Z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