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988F5" w14:textId="63D22E15" w:rsidR="00D355EC" w:rsidRDefault="00532306" w:rsidP="00620D47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9267" behindDoc="1" locked="0" layoutInCell="1" allowOverlap="1" wp14:anchorId="0DE1FB80" wp14:editId="07F78139">
            <wp:simplePos x="0" y="0"/>
            <wp:positionH relativeFrom="column">
              <wp:posOffset>-280167</wp:posOffset>
            </wp:positionH>
            <wp:positionV relativeFrom="page">
              <wp:posOffset>122764</wp:posOffset>
            </wp:positionV>
            <wp:extent cx="749935" cy="591185"/>
            <wp:effectExtent l="0" t="0" r="0" b="0"/>
            <wp:wrapTight wrapText="bothSides">
              <wp:wrapPolygon edited="0">
                <wp:start x="0" y="0"/>
                <wp:lineTo x="0" y="17401"/>
                <wp:lineTo x="1097" y="20881"/>
                <wp:lineTo x="19753" y="20881"/>
                <wp:lineTo x="20850" y="16705"/>
                <wp:lineTo x="20850" y="696"/>
                <wp:lineTo x="18107" y="0"/>
                <wp:lineTo x="0" y="0"/>
              </wp:wrapPolygon>
            </wp:wrapTight>
            <wp:docPr id="1481809205" name="Picture 7" descr="A 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809205" name="Picture 7" descr="A 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30B1F" w:rsidRPr="00E40A04">
        <w:rPr>
          <w:noProof/>
          <w:sz w:val="36"/>
          <w:szCs w:val="36"/>
        </w:rPr>
        <w:drawing>
          <wp:anchor distT="0" distB="0" distL="114300" distR="114300" simplePos="0" relativeHeight="251639808" behindDoc="1" locked="0" layoutInCell="1" allowOverlap="1" wp14:anchorId="62AD3D62" wp14:editId="0E7F6E02">
            <wp:simplePos x="0" y="0"/>
            <wp:positionH relativeFrom="page">
              <wp:posOffset>13648</wp:posOffset>
            </wp:positionH>
            <wp:positionV relativeFrom="page">
              <wp:align>top</wp:align>
            </wp:positionV>
            <wp:extent cx="7552864" cy="1583140"/>
            <wp:effectExtent l="0" t="0" r="0" b="0"/>
            <wp:wrapTight wrapText="bothSides">
              <wp:wrapPolygon edited="0">
                <wp:start x="0" y="0"/>
                <wp:lineTo x="0" y="21314"/>
                <wp:lineTo x="21520" y="21314"/>
                <wp:lineTo x="21520" y="0"/>
                <wp:lineTo x="0" y="0"/>
              </wp:wrapPolygon>
            </wp:wrapTight>
            <wp:docPr id="1306958000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958000" name="Picture 1" descr="A blue sign with white text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864" cy="1583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318E" w:rsidRPr="00E40A04">
        <w:rPr>
          <w:noProof/>
          <w:sz w:val="36"/>
          <w:szCs w:val="36"/>
        </w:rPr>
        <w:drawing>
          <wp:anchor distT="0" distB="0" distL="114300" distR="114300" simplePos="0" relativeHeight="251694080" behindDoc="1" locked="0" layoutInCell="1" allowOverlap="1" wp14:anchorId="4B28AC17" wp14:editId="36A9B508">
            <wp:simplePos x="0" y="0"/>
            <wp:positionH relativeFrom="margin">
              <wp:posOffset>6404582</wp:posOffset>
            </wp:positionH>
            <wp:positionV relativeFrom="page">
              <wp:align>top</wp:align>
            </wp:positionV>
            <wp:extent cx="593090" cy="1528445"/>
            <wp:effectExtent l="0" t="0" r="0" b="0"/>
            <wp:wrapTight wrapText="bothSides">
              <wp:wrapPolygon edited="0">
                <wp:start x="2775" y="0"/>
                <wp:lineTo x="0" y="0"/>
                <wp:lineTo x="0" y="17230"/>
                <wp:lineTo x="694" y="20999"/>
                <wp:lineTo x="3469" y="21268"/>
                <wp:lineTo x="16651" y="21268"/>
                <wp:lineTo x="20120" y="20999"/>
                <wp:lineTo x="20814" y="20460"/>
                <wp:lineTo x="20120" y="269"/>
                <wp:lineTo x="17345" y="0"/>
                <wp:lineTo x="2775" y="0"/>
              </wp:wrapPolygon>
            </wp:wrapTight>
            <wp:docPr id="94307975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1528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0A04" w:rsidRPr="00E40A04">
        <w:rPr>
          <w:sz w:val="36"/>
          <w:szCs w:val="36"/>
        </w:rPr>
        <w:t>How to support</w:t>
      </w:r>
      <w:r w:rsidR="00C62EE0">
        <w:rPr>
          <w:sz w:val="36"/>
          <w:szCs w:val="36"/>
        </w:rPr>
        <w:t xml:space="preserve"> </w:t>
      </w:r>
      <w:r w:rsidR="007A65EA">
        <w:rPr>
          <w:sz w:val="36"/>
          <w:szCs w:val="36"/>
        </w:rPr>
        <w:t>a</w:t>
      </w:r>
      <w:r w:rsidR="003356C0">
        <w:rPr>
          <w:sz w:val="36"/>
          <w:szCs w:val="36"/>
        </w:rPr>
        <w:t xml:space="preserve"> </w:t>
      </w:r>
      <w:r w:rsidR="00620D47">
        <w:rPr>
          <w:sz w:val="36"/>
          <w:szCs w:val="36"/>
        </w:rPr>
        <w:t>non-verbal</w:t>
      </w:r>
      <w:r w:rsidR="003356C0">
        <w:rPr>
          <w:sz w:val="36"/>
          <w:szCs w:val="36"/>
        </w:rPr>
        <w:t xml:space="preserve"> child</w:t>
      </w:r>
      <w:r w:rsidR="00E40A04" w:rsidRPr="00E40A04">
        <w:rPr>
          <w:sz w:val="36"/>
          <w:szCs w:val="36"/>
        </w:rPr>
        <w:t xml:space="preserve"> using Five to Thriv</w:t>
      </w:r>
      <w:r w:rsidR="00D355EC">
        <w:rPr>
          <w:sz w:val="36"/>
          <w:szCs w:val="36"/>
        </w:rPr>
        <w:t>e</w:t>
      </w:r>
    </w:p>
    <w:p w14:paraId="237299DC" w14:textId="77777777" w:rsidR="003356C0" w:rsidRPr="003356C0" w:rsidRDefault="007C4C6A" w:rsidP="003356C0">
      <w:pPr>
        <w:pStyle w:val="paragraph"/>
        <w:spacing w:after="0"/>
        <w:textAlignment w:val="baseline"/>
        <w:rPr>
          <w:rFonts w:cs="Segoe UI"/>
          <w:b/>
          <w:bCs/>
          <w:sz w:val="32"/>
          <w:szCs w:val="32"/>
        </w:rPr>
      </w:pPr>
      <w:r w:rsidRPr="00B52FE8">
        <w:rPr>
          <w:rStyle w:val="normaltextrun"/>
          <w:rFonts w:ascii="Mangal Pro" w:eastAsiaTheme="majorEastAsia" w:hAnsi="Mangal Pro" w:cs="Mangal Pro"/>
          <w:b/>
          <w:bCs/>
          <w:sz w:val="32"/>
          <w:szCs w:val="32"/>
        </w:rPr>
        <w:t xml:space="preserve">Block 1: </w:t>
      </w:r>
      <w:r w:rsidRPr="00B52FE8">
        <w:rPr>
          <w:rStyle w:val="normaltextrun"/>
          <w:rFonts w:ascii="Mangal Pro" w:eastAsiaTheme="majorEastAsia" w:hAnsi="Mangal Pro" w:cs="Mangal Pro"/>
          <w:b/>
          <w:bCs/>
          <w:color w:val="FF0000"/>
          <w:sz w:val="32"/>
          <w:szCs w:val="32"/>
        </w:rPr>
        <w:t>Respond:</w:t>
      </w:r>
      <w:r w:rsidR="007A65EA">
        <w:rPr>
          <w:rStyle w:val="normaltextrun"/>
          <w:rFonts w:ascii="Mangal Pro" w:eastAsiaTheme="majorEastAsia" w:hAnsi="Mangal Pro" w:cs="Mangal Pro"/>
          <w:b/>
          <w:bCs/>
          <w:color w:val="FF0000"/>
          <w:sz w:val="32"/>
          <w:szCs w:val="32"/>
        </w:rPr>
        <w:t xml:space="preserve"> </w:t>
      </w:r>
      <w:r w:rsidR="003356C0" w:rsidRPr="003356C0">
        <w:rPr>
          <w:rFonts w:cs="Segoe UI"/>
          <w:b/>
          <w:bCs/>
          <w:sz w:val="32"/>
          <w:szCs w:val="32"/>
        </w:rPr>
        <w:t xml:space="preserve">– </w:t>
      </w:r>
      <w:r w:rsidR="003356C0" w:rsidRPr="003356C0">
        <w:rPr>
          <w:rFonts w:asciiTheme="minorHAnsi" w:hAnsiTheme="minorHAnsi" w:cs="Segoe UI"/>
          <w:b/>
          <w:bCs/>
          <w:sz w:val="32"/>
          <w:szCs w:val="32"/>
        </w:rPr>
        <w:t>Tune into Non-Verbal Cues</w:t>
      </w:r>
    </w:p>
    <w:p w14:paraId="5B827E04" w14:textId="6BBC3CF3" w:rsidR="003356C0" w:rsidRPr="003356C0" w:rsidRDefault="003356C0" w:rsidP="003356C0">
      <w:pPr>
        <w:pStyle w:val="paragraph"/>
        <w:textAlignment w:val="baseline"/>
        <w:rPr>
          <w:rFonts w:asciiTheme="minorHAnsi" w:hAnsiTheme="minorHAnsi" w:cs="Segoe UI"/>
          <w:sz w:val="32"/>
          <w:szCs w:val="32"/>
        </w:rPr>
      </w:pPr>
      <w:r w:rsidRPr="003356C0">
        <w:rPr>
          <w:rFonts w:asciiTheme="minorHAnsi" w:hAnsiTheme="minorHAnsi" w:cs="Segoe UI"/>
          <w:sz w:val="32"/>
          <w:szCs w:val="32"/>
        </w:rPr>
        <w:t>Observe body language, facial expressions, gestures, or sounds. A child might tug your hand, point, or use eye gaze to communicate.</w:t>
      </w:r>
      <w:r>
        <w:rPr>
          <w:rFonts w:asciiTheme="minorHAnsi" w:hAnsiTheme="minorHAnsi" w:cs="Segoe UI"/>
          <w:sz w:val="32"/>
          <w:szCs w:val="32"/>
        </w:rPr>
        <w:t xml:space="preserve"> </w:t>
      </w:r>
      <w:r w:rsidRPr="003356C0">
        <w:rPr>
          <w:rFonts w:asciiTheme="minorHAnsi" w:hAnsiTheme="minorHAnsi" w:cs="Segoe UI"/>
          <w:sz w:val="32"/>
          <w:szCs w:val="32"/>
        </w:rPr>
        <w:t>Respond promptly and consistently to these cues to build trust and show the child they are understood.</w:t>
      </w:r>
    </w:p>
    <w:p w14:paraId="18253356" w14:textId="77777777" w:rsidR="003356C0" w:rsidRPr="003356C0" w:rsidRDefault="00EA2EDF" w:rsidP="003356C0">
      <w:pPr>
        <w:pStyle w:val="paragraph"/>
        <w:spacing w:after="0"/>
        <w:textAlignment w:val="baseline"/>
        <w:rPr>
          <w:rFonts w:eastAsiaTheme="majorEastAsia" w:cs="Mangal Pro"/>
          <w:b/>
          <w:bCs/>
          <w:sz w:val="32"/>
          <w:szCs w:val="32"/>
        </w:rPr>
      </w:pPr>
      <w:r w:rsidRPr="00B52FE8">
        <w:rPr>
          <w:rStyle w:val="normaltextrun"/>
          <w:rFonts w:ascii="Mangal Pro" w:eastAsiaTheme="majorEastAsia" w:hAnsi="Mangal Pro" w:cs="Mangal Pro"/>
          <w:b/>
          <w:bCs/>
          <w:sz w:val="32"/>
          <w:szCs w:val="32"/>
        </w:rPr>
        <w:t xml:space="preserve">Block 2: </w:t>
      </w:r>
      <w:r w:rsidRPr="00B52FE8">
        <w:rPr>
          <w:rStyle w:val="normaltextrun"/>
          <w:rFonts w:ascii="Mangal Pro" w:eastAsiaTheme="majorEastAsia" w:hAnsi="Mangal Pro" w:cs="Mangal Pro"/>
          <w:b/>
          <w:bCs/>
          <w:color w:val="FFC000"/>
          <w:sz w:val="32"/>
          <w:szCs w:val="32"/>
        </w:rPr>
        <w:t>Engage</w:t>
      </w:r>
      <w:r w:rsidRPr="00EA2EDF">
        <w:rPr>
          <w:rStyle w:val="normaltextrun"/>
          <w:rFonts w:ascii="Mangal Pro" w:eastAsiaTheme="majorEastAsia" w:hAnsi="Mangal Pro" w:cs="Mangal Pro"/>
          <w:b/>
          <w:bCs/>
          <w:color w:val="FFC000"/>
          <w:sz w:val="28"/>
          <w:szCs w:val="28"/>
        </w:rPr>
        <w:t>:</w:t>
      </w:r>
      <w:r>
        <w:rPr>
          <w:rStyle w:val="normaltextrun"/>
          <w:rFonts w:ascii="Mangal Pro" w:eastAsiaTheme="majorEastAsia" w:hAnsi="Mangal Pro" w:cs="Mangal Pro"/>
          <w:b/>
          <w:bCs/>
          <w:color w:val="FF0000"/>
          <w:sz w:val="28"/>
          <w:szCs w:val="28"/>
        </w:rPr>
        <w:t> </w:t>
      </w:r>
      <w:r w:rsidR="003356C0" w:rsidRPr="003356C0">
        <w:rPr>
          <w:rFonts w:asciiTheme="minorHAnsi" w:eastAsiaTheme="majorEastAsia" w:hAnsiTheme="minorHAnsi" w:cs="Mangal Pro"/>
          <w:b/>
          <w:bCs/>
          <w:sz w:val="32"/>
          <w:szCs w:val="32"/>
        </w:rPr>
        <w:t>Connect in Their Comfort Zone</w:t>
      </w:r>
    </w:p>
    <w:p w14:paraId="38D04ACD" w14:textId="36FFC019" w:rsidR="003356C0" w:rsidRPr="003356C0" w:rsidRDefault="003356C0" w:rsidP="003356C0">
      <w:pPr>
        <w:pStyle w:val="paragraph"/>
        <w:textAlignment w:val="baseline"/>
        <w:rPr>
          <w:rFonts w:asciiTheme="minorHAnsi" w:eastAsiaTheme="majorEastAsia" w:hAnsiTheme="minorHAnsi" w:cs="Mangal Pro"/>
          <w:sz w:val="32"/>
          <w:szCs w:val="32"/>
        </w:rPr>
      </w:pPr>
      <w:r w:rsidRPr="003356C0">
        <w:rPr>
          <w:rFonts w:asciiTheme="minorHAnsi" w:eastAsiaTheme="majorEastAsia" w:hAnsiTheme="minorHAnsi" w:cs="Mangal Pro"/>
          <w:sz w:val="32"/>
          <w:szCs w:val="32"/>
        </w:rPr>
        <w:t>If physical touch is soothing, offer cuddles. If not, engage through parallel play, shared interests, or simply being present.</w:t>
      </w:r>
      <w:r>
        <w:rPr>
          <w:rFonts w:asciiTheme="minorHAnsi" w:eastAsiaTheme="majorEastAsia" w:hAnsiTheme="minorHAnsi" w:cs="Mangal Pro"/>
          <w:sz w:val="32"/>
          <w:szCs w:val="32"/>
        </w:rPr>
        <w:t xml:space="preserve"> </w:t>
      </w:r>
      <w:r w:rsidRPr="003356C0">
        <w:rPr>
          <w:rFonts w:asciiTheme="minorHAnsi" w:eastAsiaTheme="majorEastAsia" w:hAnsiTheme="minorHAnsi" w:cs="Mangal Pro"/>
          <w:sz w:val="32"/>
          <w:szCs w:val="32"/>
        </w:rPr>
        <w:t>Respect sensory preferences—some children may prefer deep pressure (like weighted blankets) or gentle touch, while others may not want physical contact at all</w:t>
      </w:r>
      <w:r w:rsidRPr="003356C0">
        <w:rPr>
          <w:rFonts w:eastAsiaTheme="majorEastAsia" w:cs="Mangal Pro"/>
          <w:b/>
          <w:bCs/>
          <w:sz w:val="32"/>
          <w:szCs w:val="32"/>
        </w:rPr>
        <w:t>.</w:t>
      </w:r>
    </w:p>
    <w:p w14:paraId="2BC30DA8" w14:textId="77777777" w:rsidR="003356C0" w:rsidRPr="003356C0" w:rsidRDefault="00EA2EDF" w:rsidP="003356C0">
      <w:pPr>
        <w:pStyle w:val="paragraph"/>
        <w:spacing w:after="0"/>
        <w:textAlignment w:val="baseline"/>
        <w:rPr>
          <w:rFonts w:ascii="Mangal Pro" w:eastAsiaTheme="majorEastAsia" w:hAnsi="Mangal Pro" w:cs="Mangal Pro"/>
          <w:b/>
          <w:bCs/>
          <w:color w:val="FF0000"/>
          <w:sz w:val="32"/>
          <w:szCs w:val="32"/>
        </w:rPr>
      </w:pPr>
      <w:r w:rsidRPr="00B52FE8">
        <w:rPr>
          <w:rStyle w:val="normaltextrun"/>
          <w:rFonts w:ascii="Mangal Pro" w:eastAsiaTheme="majorEastAsia" w:hAnsi="Mangal Pro" w:cs="Mangal Pro"/>
          <w:b/>
          <w:bCs/>
          <w:sz w:val="32"/>
          <w:szCs w:val="32"/>
        </w:rPr>
        <w:t xml:space="preserve">Block 3: </w:t>
      </w:r>
      <w:r w:rsidRPr="00B52FE8">
        <w:rPr>
          <w:rStyle w:val="normaltextrun"/>
          <w:rFonts w:ascii="Mangal Pro" w:eastAsiaTheme="majorEastAsia" w:hAnsi="Mangal Pro" w:cs="Mangal Pro"/>
          <w:b/>
          <w:bCs/>
          <w:color w:val="00B050"/>
          <w:sz w:val="32"/>
          <w:szCs w:val="32"/>
        </w:rPr>
        <w:t>Relax:</w:t>
      </w:r>
      <w:r w:rsidRPr="00B52FE8">
        <w:rPr>
          <w:rStyle w:val="normaltextrun"/>
          <w:rFonts w:ascii="Mangal Pro" w:eastAsiaTheme="majorEastAsia" w:hAnsi="Mangal Pro" w:cs="Mangal Pro"/>
          <w:b/>
          <w:bCs/>
          <w:color w:val="FF0000"/>
          <w:sz w:val="32"/>
          <w:szCs w:val="32"/>
        </w:rPr>
        <w:t>  </w:t>
      </w:r>
      <w:r w:rsidR="003356C0" w:rsidRPr="003356C0">
        <w:rPr>
          <w:rFonts w:asciiTheme="minorHAnsi" w:eastAsiaTheme="majorEastAsia" w:hAnsiTheme="minorHAnsi" w:cs="Mangal Pro"/>
          <w:b/>
          <w:bCs/>
          <w:sz w:val="32"/>
          <w:szCs w:val="32"/>
        </w:rPr>
        <w:t>Create a Calm, Predictable Environment</w:t>
      </w:r>
    </w:p>
    <w:p w14:paraId="2AC934E5" w14:textId="716C6D30" w:rsidR="003356C0" w:rsidRPr="003356C0" w:rsidRDefault="003356C0" w:rsidP="003356C0">
      <w:pPr>
        <w:pStyle w:val="paragraph"/>
        <w:textAlignment w:val="baseline"/>
        <w:rPr>
          <w:rFonts w:asciiTheme="minorHAnsi" w:eastAsiaTheme="majorEastAsia" w:hAnsiTheme="minorHAnsi" w:cs="Mangal Pro"/>
          <w:sz w:val="32"/>
          <w:szCs w:val="32"/>
        </w:rPr>
      </w:pPr>
      <w:r w:rsidRPr="003356C0">
        <w:rPr>
          <w:rFonts w:asciiTheme="minorHAnsi" w:eastAsiaTheme="majorEastAsia" w:hAnsiTheme="minorHAnsi" w:cs="Mangal Pro"/>
          <w:sz w:val="32"/>
          <w:szCs w:val="32"/>
        </w:rPr>
        <w:t>Use visual schedules, sensory-friendly spaces, and calming routines to reduce anxiety. Incorporate sensory breaks and quiet time. Tools like noise-cancelling headphones or fidget toys can help regulate sensory input.</w:t>
      </w:r>
    </w:p>
    <w:p w14:paraId="2932C704" w14:textId="77777777" w:rsidR="003356C0" w:rsidRPr="003356C0" w:rsidRDefault="00EA2EDF" w:rsidP="003356C0">
      <w:pPr>
        <w:pStyle w:val="paragraph"/>
        <w:spacing w:after="0"/>
        <w:textAlignment w:val="baseline"/>
        <w:rPr>
          <w:rFonts w:ascii="Mangal Pro" w:eastAsiaTheme="majorEastAsia" w:hAnsi="Mangal Pro" w:cs="Mangal Pro"/>
          <w:b/>
          <w:bCs/>
          <w:sz w:val="32"/>
          <w:szCs w:val="32"/>
        </w:rPr>
      </w:pPr>
      <w:r w:rsidRPr="00B52FE8">
        <w:rPr>
          <w:rStyle w:val="normaltextrun"/>
          <w:rFonts w:ascii="Mangal Pro" w:eastAsiaTheme="majorEastAsia" w:hAnsi="Mangal Pro" w:cs="Mangal Pro"/>
          <w:b/>
          <w:bCs/>
          <w:sz w:val="32"/>
          <w:szCs w:val="32"/>
        </w:rPr>
        <w:t xml:space="preserve">Block 4: </w:t>
      </w:r>
      <w:r w:rsidRPr="00B52FE8">
        <w:rPr>
          <w:rStyle w:val="normaltextrun"/>
          <w:rFonts w:ascii="Mangal Pro" w:eastAsiaTheme="majorEastAsia" w:hAnsi="Mangal Pro" w:cs="Mangal Pro"/>
          <w:b/>
          <w:bCs/>
          <w:color w:val="0070C0"/>
          <w:sz w:val="32"/>
          <w:szCs w:val="32"/>
        </w:rPr>
        <w:t>Play</w:t>
      </w:r>
      <w:r w:rsidR="007A65EA">
        <w:rPr>
          <w:rStyle w:val="normaltextrun"/>
          <w:rFonts w:ascii="Mangal Pro" w:eastAsiaTheme="majorEastAsia" w:hAnsi="Mangal Pro" w:cs="Mangal Pro"/>
          <w:b/>
          <w:bCs/>
          <w:color w:val="0070C0"/>
          <w:sz w:val="32"/>
          <w:szCs w:val="32"/>
        </w:rPr>
        <w:t xml:space="preserve"> </w:t>
      </w:r>
      <w:r w:rsidR="003356C0" w:rsidRPr="003356C0">
        <w:rPr>
          <w:rFonts w:ascii="Mangal Pro" w:eastAsiaTheme="majorEastAsia" w:hAnsi="Mangal Pro" w:cs="Mangal Pro"/>
          <w:b/>
          <w:bCs/>
          <w:sz w:val="32"/>
          <w:szCs w:val="32"/>
        </w:rPr>
        <w:t>Use Play as a Language</w:t>
      </w:r>
    </w:p>
    <w:p w14:paraId="62B2408C" w14:textId="113EB94B" w:rsidR="003356C0" w:rsidRPr="003356C0" w:rsidRDefault="003356C0" w:rsidP="003356C0">
      <w:pPr>
        <w:pStyle w:val="paragraph"/>
        <w:textAlignment w:val="baseline"/>
        <w:rPr>
          <w:rFonts w:asciiTheme="minorHAnsi" w:eastAsiaTheme="majorEastAsia" w:hAnsiTheme="minorHAnsi" w:cs="Mangal Pro"/>
          <w:sz w:val="32"/>
          <w:szCs w:val="32"/>
        </w:rPr>
      </w:pPr>
      <w:r w:rsidRPr="003356C0">
        <w:rPr>
          <w:rFonts w:asciiTheme="minorHAnsi" w:eastAsiaTheme="majorEastAsia" w:hAnsiTheme="minorHAnsi" w:cs="Mangal Pro"/>
          <w:sz w:val="32"/>
          <w:szCs w:val="32"/>
        </w:rPr>
        <w:t>Follow the child’s lead in play. Use toys, sensory bins, or cause-and-effect games to build interaction. Play can be a powerful way to model communication—use gestures, signs, or picture cards during play to introduce new concepts.</w:t>
      </w:r>
    </w:p>
    <w:p w14:paraId="724D9C95" w14:textId="77777777" w:rsidR="003356C0" w:rsidRPr="003356C0" w:rsidRDefault="00EA2EDF" w:rsidP="003356C0">
      <w:pPr>
        <w:pStyle w:val="paragraph"/>
        <w:spacing w:after="0"/>
        <w:textAlignment w:val="baseline"/>
        <w:rPr>
          <w:rFonts w:asciiTheme="minorHAnsi" w:eastAsiaTheme="majorEastAsia" w:hAnsiTheme="minorHAnsi" w:cs="Mangal Pro"/>
          <w:b/>
          <w:bCs/>
          <w:sz w:val="32"/>
          <w:szCs w:val="32"/>
        </w:rPr>
      </w:pPr>
      <w:r w:rsidRPr="00B52FE8">
        <w:rPr>
          <w:rStyle w:val="normaltextrun"/>
          <w:rFonts w:ascii="Mangal Pro" w:eastAsiaTheme="majorEastAsia" w:hAnsi="Mangal Pro" w:cs="Mangal Pro"/>
          <w:b/>
          <w:bCs/>
          <w:sz w:val="32"/>
          <w:szCs w:val="32"/>
        </w:rPr>
        <w:t xml:space="preserve">Block 5: </w:t>
      </w:r>
      <w:r w:rsidRPr="00B52FE8">
        <w:rPr>
          <w:rStyle w:val="normaltextrun"/>
          <w:rFonts w:ascii="Mangal Pro" w:eastAsiaTheme="majorEastAsia" w:hAnsi="Mangal Pro" w:cs="Mangal Pro"/>
          <w:b/>
          <w:color w:val="D86DCB" w:themeColor="accent5" w:themeTint="99"/>
          <w:sz w:val="32"/>
          <w:szCs w:val="32"/>
        </w:rPr>
        <w:t>Talk:</w:t>
      </w:r>
      <w:r w:rsidRPr="00B52FE8">
        <w:rPr>
          <w:rStyle w:val="normaltextrun"/>
          <w:rFonts w:ascii="Mangal Pro" w:eastAsiaTheme="majorEastAsia" w:hAnsi="Mangal Pro" w:cs="Mangal Pro"/>
          <w:b/>
          <w:bCs/>
          <w:color w:val="FF0000"/>
          <w:sz w:val="32"/>
          <w:szCs w:val="32"/>
        </w:rPr>
        <w:t>  </w:t>
      </w:r>
      <w:r w:rsidR="003356C0" w:rsidRPr="003356C0">
        <w:rPr>
          <w:rFonts w:asciiTheme="minorHAnsi" w:eastAsiaTheme="majorEastAsia" w:hAnsiTheme="minorHAnsi" w:cs="Mangal Pro"/>
          <w:b/>
          <w:bCs/>
          <w:sz w:val="32"/>
          <w:szCs w:val="32"/>
        </w:rPr>
        <w:t>Support Alternative Communication</w:t>
      </w:r>
    </w:p>
    <w:p w14:paraId="2351DC56" w14:textId="579B4E5A" w:rsidR="003356C0" w:rsidRPr="003356C0" w:rsidRDefault="003356C0" w:rsidP="003356C0">
      <w:pPr>
        <w:pStyle w:val="paragraph"/>
        <w:rPr>
          <w:rFonts w:asciiTheme="minorHAnsi" w:hAnsiTheme="minorHAnsi" w:cs="Mangal Pro"/>
          <w:sz w:val="32"/>
          <w:szCs w:val="32"/>
        </w:rPr>
      </w:pPr>
      <w:r w:rsidRPr="003356C0">
        <w:rPr>
          <w:rFonts w:asciiTheme="minorHAnsi" w:eastAsiaTheme="majorEastAsia" w:hAnsiTheme="minorHAnsi" w:cs="Mangal Pro"/>
          <w:sz w:val="32"/>
          <w:szCs w:val="32"/>
        </w:rPr>
        <w:t>Use AAC tools</w:t>
      </w:r>
      <w:r>
        <w:rPr>
          <w:rFonts w:asciiTheme="minorHAnsi" w:eastAsiaTheme="majorEastAsia" w:hAnsiTheme="minorHAnsi" w:cs="Mangal Pro"/>
          <w:sz w:val="32"/>
          <w:szCs w:val="32"/>
        </w:rPr>
        <w:t xml:space="preserve"> </w:t>
      </w:r>
      <w:r w:rsidRPr="003356C0">
        <w:rPr>
          <w:rFonts w:asciiTheme="minorHAnsi" w:eastAsiaTheme="majorEastAsia" w:hAnsiTheme="minorHAnsi" w:cs="Mangal Pro"/>
          <w:sz w:val="32"/>
          <w:szCs w:val="32"/>
        </w:rPr>
        <w:t xml:space="preserve">(Augmentative and Alternative Communication) like </w:t>
      </w:r>
      <w:r>
        <w:rPr>
          <w:rFonts w:asciiTheme="minorHAnsi" w:eastAsiaTheme="majorEastAsia" w:hAnsiTheme="minorHAnsi" w:cs="Mangal Pro"/>
          <w:sz w:val="32"/>
          <w:szCs w:val="32"/>
        </w:rPr>
        <w:t>picture cards</w:t>
      </w:r>
      <w:r w:rsidRPr="003356C0">
        <w:rPr>
          <w:rFonts w:asciiTheme="minorHAnsi" w:eastAsiaTheme="majorEastAsia" w:hAnsiTheme="minorHAnsi" w:cs="Mangal Pro"/>
          <w:sz w:val="32"/>
          <w:szCs w:val="32"/>
        </w:rPr>
        <w:t xml:space="preserve"> or speech-generating devices), sign language, or visual aids to support expressive and receptive communication. Narrate what you’re </w:t>
      </w:r>
      <w:r w:rsidRPr="003356C0">
        <w:rPr>
          <w:rFonts w:asciiTheme="minorHAnsi" w:eastAsiaTheme="majorEastAsia" w:hAnsiTheme="minorHAnsi" w:cs="Mangal Pro"/>
          <w:sz w:val="32"/>
          <w:szCs w:val="32"/>
        </w:rPr>
        <w:lastRenderedPageBreak/>
        <w:t>doing, even if the child doesn’t respond verbally. This builds language exposure and models communication.</w:t>
      </w:r>
    </w:p>
    <w:p w14:paraId="1D1F34CC" w14:textId="167E9813" w:rsidR="00EA2EDF" w:rsidRPr="003356C0" w:rsidRDefault="00EA2EDF" w:rsidP="003356C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="Mangal Pro"/>
          <w:sz w:val="32"/>
          <w:szCs w:val="32"/>
        </w:rPr>
      </w:pPr>
    </w:p>
    <w:p w14:paraId="52611DDC" w14:textId="0A6616A9" w:rsidR="000C318E" w:rsidRPr="00DB5B0B" w:rsidRDefault="007C4C6A" w:rsidP="00DB5B0B">
      <w:pPr>
        <w:jc w:val="center"/>
        <w:rPr>
          <w:b/>
          <w:bCs/>
          <w:sz w:val="28"/>
          <w:szCs w:val="28"/>
        </w:rPr>
      </w:pPr>
      <w:r w:rsidRPr="00100D9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 wp14:anchorId="234649ED" wp14:editId="155996F7">
            <wp:simplePos x="0" y="0"/>
            <wp:positionH relativeFrom="rightMargin">
              <wp:posOffset>-237006</wp:posOffset>
            </wp:positionH>
            <wp:positionV relativeFrom="bottomMargin">
              <wp:posOffset>-236049</wp:posOffset>
            </wp:positionV>
            <wp:extent cx="590550" cy="567690"/>
            <wp:effectExtent l="0" t="0" r="0" b="3810"/>
            <wp:wrapTight wrapText="bothSides">
              <wp:wrapPolygon edited="0">
                <wp:start x="0" y="0"/>
                <wp:lineTo x="0" y="21020"/>
                <wp:lineTo x="20903" y="21020"/>
                <wp:lineTo x="20903" y="0"/>
                <wp:lineTo x="0" y="0"/>
              </wp:wrapPolygon>
            </wp:wrapTight>
            <wp:docPr id="498129923" name="Picture 1" descr="A white animal on a green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129923" name="Picture 1" descr="A white animal on a green background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0D9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225EA61" wp14:editId="40035DF9">
            <wp:simplePos x="0" y="0"/>
            <wp:positionH relativeFrom="page">
              <wp:posOffset>28575</wp:posOffset>
            </wp:positionH>
            <wp:positionV relativeFrom="bottomMargin">
              <wp:posOffset>-193040</wp:posOffset>
            </wp:positionV>
            <wp:extent cx="1812290" cy="580390"/>
            <wp:effectExtent l="0" t="0" r="0" b="0"/>
            <wp:wrapTight wrapText="bothSides">
              <wp:wrapPolygon edited="0">
                <wp:start x="0" y="0"/>
                <wp:lineTo x="0" y="20560"/>
                <wp:lineTo x="21343" y="20560"/>
                <wp:lineTo x="21343" y="0"/>
                <wp:lineTo x="0" y="0"/>
              </wp:wrapPolygon>
            </wp:wrapTight>
            <wp:docPr id="13576786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580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4231" w:rsidRPr="00100D95">
        <w:rPr>
          <w:b/>
          <w:bCs/>
          <w:sz w:val="28"/>
          <w:szCs w:val="28"/>
        </w:rPr>
        <w:t xml:space="preserve">For more </w:t>
      </w:r>
      <w:r w:rsidR="000C318E" w:rsidRPr="00100D95">
        <w:rPr>
          <w:b/>
          <w:bCs/>
          <w:sz w:val="28"/>
          <w:szCs w:val="28"/>
        </w:rPr>
        <w:t>information,</w:t>
      </w:r>
      <w:r w:rsidR="00754231" w:rsidRPr="00100D95">
        <w:rPr>
          <w:b/>
          <w:bCs/>
          <w:sz w:val="28"/>
          <w:szCs w:val="28"/>
        </w:rPr>
        <w:t xml:space="preserve"> please </w:t>
      </w:r>
      <w:r w:rsidR="00CD7E38" w:rsidRPr="00100D95">
        <w:rPr>
          <w:b/>
          <w:bCs/>
          <w:sz w:val="28"/>
          <w:szCs w:val="28"/>
        </w:rPr>
        <w:t xml:space="preserve">visit </w:t>
      </w:r>
      <w:hyperlink r:id="rId13" w:history="1">
        <w:r w:rsidR="00CD7E38" w:rsidRPr="00100D95">
          <w:rPr>
            <w:rStyle w:val="Hyperlink"/>
            <w:b/>
            <w:bCs/>
            <w:sz w:val="28"/>
            <w:szCs w:val="28"/>
          </w:rPr>
          <w:t>F</w:t>
        </w:r>
        <w:r w:rsidR="003356C0">
          <w:rPr>
            <w:rStyle w:val="Hyperlink"/>
            <w:b/>
            <w:bCs/>
            <w:sz w:val="28"/>
            <w:szCs w:val="28"/>
          </w:rPr>
          <w:t xml:space="preserve"> </w:t>
        </w:r>
        <w:r w:rsidR="00CD7E38" w:rsidRPr="00100D95">
          <w:rPr>
            <w:rStyle w:val="Hyperlink"/>
            <w:b/>
            <w:bCs/>
            <w:sz w:val="28"/>
            <w:szCs w:val="28"/>
          </w:rPr>
          <w:t>amilyHubs</w:t>
        </w:r>
        <w:r w:rsidR="007E72A4">
          <w:rPr>
            <w:rStyle w:val="Hyperlink"/>
            <w:b/>
            <w:bCs/>
            <w:sz w:val="28"/>
            <w:szCs w:val="28"/>
          </w:rPr>
          <w:t>L</w:t>
        </w:r>
        <w:r w:rsidR="00CD7E38" w:rsidRPr="00100D95">
          <w:rPr>
            <w:rStyle w:val="Hyperlink"/>
            <w:b/>
            <w:bCs/>
            <w:sz w:val="28"/>
            <w:szCs w:val="28"/>
          </w:rPr>
          <w:t>eicestershire.</w:t>
        </w:r>
        <w:r w:rsidR="000C318E" w:rsidRPr="00100D95">
          <w:rPr>
            <w:rStyle w:val="Hyperlink"/>
            <w:b/>
            <w:bCs/>
            <w:sz w:val="28"/>
            <w:szCs w:val="28"/>
          </w:rPr>
          <w:t>org.uk</w:t>
        </w:r>
      </w:hyperlink>
    </w:p>
    <w:sectPr w:rsidR="000C318E" w:rsidRPr="00DB5B0B" w:rsidSect="007C4C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 Pro"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333DF"/>
    <w:multiLevelType w:val="multilevel"/>
    <w:tmpl w:val="42CC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AB1C30"/>
    <w:multiLevelType w:val="multilevel"/>
    <w:tmpl w:val="2D441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4E26DE"/>
    <w:multiLevelType w:val="multilevel"/>
    <w:tmpl w:val="755C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6A4DC1"/>
    <w:multiLevelType w:val="multilevel"/>
    <w:tmpl w:val="47EE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5315C"/>
    <w:multiLevelType w:val="multilevel"/>
    <w:tmpl w:val="BAA61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B51B7C"/>
    <w:multiLevelType w:val="multilevel"/>
    <w:tmpl w:val="47A88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C23437"/>
    <w:multiLevelType w:val="multilevel"/>
    <w:tmpl w:val="A7F86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86906BF"/>
    <w:multiLevelType w:val="multilevel"/>
    <w:tmpl w:val="D9563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BD20EE"/>
    <w:multiLevelType w:val="multilevel"/>
    <w:tmpl w:val="E4CC1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EE1307A"/>
    <w:multiLevelType w:val="multilevel"/>
    <w:tmpl w:val="E6EA5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7D47D38"/>
    <w:multiLevelType w:val="multilevel"/>
    <w:tmpl w:val="6264F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0263608">
    <w:abstractNumId w:val="10"/>
  </w:num>
  <w:num w:numId="2" w16cid:durableId="570040589">
    <w:abstractNumId w:val="3"/>
  </w:num>
  <w:num w:numId="3" w16cid:durableId="1802843048">
    <w:abstractNumId w:val="5"/>
  </w:num>
  <w:num w:numId="4" w16cid:durableId="1309288266">
    <w:abstractNumId w:val="2"/>
  </w:num>
  <w:num w:numId="5" w16cid:durableId="1717924504">
    <w:abstractNumId w:val="1"/>
  </w:num>
  <w:num w:numId="6" w16cid:durableId="446244488">
    <w:abstractNumId w:val="7"/>
  </w:num>
  <w:num w:numId="7" w16cid:durableId="1939563223">
    <w:abstractNumId w:val="9"/>
  </w:num>
  <w:num w:numId="8" w16cid:durableId="404569174">
    <w:abstractNumId w:val="4"/>
  </w:num>
  <w:num w:numId="9" w16cid:durableId="1856579174">
    <w:abstractNumId w:val="0"/>
  </w:num>
  <w:num w:numId="10" w16cid:durableId="88164489">
    <w:abstractNumId w:val="8"/>
  </w:num>
  <w:num w:numId="11" w16cid:durableId="11170232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B9"/>
    <w:rsid w:val="00072277"/>
    <w:rsid w:val="000C318E"/>
    <w:rsid w:val="00100D95"/>
    <w:rsid w:val="001D1410"/>
    <w:rsid w:val="002234B6"/>
    <w:rsid w:val="002A0B62"/>
    <w:rsid w:val="003356C0"/>
    <w:rsid w:val="003A7EB6"/>
    <w:rsid w:val="004E63B9"/>
    <w:rsid w:val="00532306"/>
    <w:rsid w:val="00620D47"/>
    <w:rsid w:val="00754231"/>
    <w:rsid w:val="007604B6"/>
    <w:rsid w:val="007A65EA"/>
    <w:rsid w:val="007C4C6A"/>
    <w:rsid w:val="007D18B6"/>
    <w:rsid w:val="007E72A4"/>
    <w:rsid w:val="009B4A5D"/>
    <w:rsid w:val="00A4490D"/>
    <w:rsid w:val="00B30B1F"/>
    <w:rsid w:val="00B4775D"/>
    <w:rsid w:val="00B52FE8"/>
    <w:rsid w:val="00B54C54"/>
    <w:rsid w:val="00B64F84"/>
    <w:rsid w:val="00B97ECD"/>
    <w:rsid w:val="00C62EE0"/>
    <w:rsid w:val="00CD7E38"/>
    <w:rsid w:val="00D355EC"/>
    <w:rsid w:val="00DB5B0B"/>
    <w:rsid w:val="00DB68E9"/>
    <w:rsid w:val="00DC3EB9"/>
    <w:rsid w:val="00DF3FBE"/>
    <w:rsid w:val="00E40A04"/>
    <w:rsid w:val="00E6455B"/>
    <w:rsid w:val="00EA2EDF"/>
    <w:rsid w:val="00EB1935"/>
    <w:rsid w:val="00ED0040"/>
    <w:rsid w:val="00FB104C"/>
    <w:rsid w:val="00FB52EA"/>
    <w:rsid w:val="00FC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52BBD"/>
  <w15:chartTrackingRefBased/>
  <w15:docId w15:val="{7D2DC9BC-B0E9-4C97-9CC7-A25807BE4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3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3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3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3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3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3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3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3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3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3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3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3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3B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C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7C4C6A"/>
  </w:style>
  <w:style w:type="character" w:customStyle="1" w:styleId="eop">
    <w:name w:val="eop"/>
    <w:basedOn w:val="DefaultParagraphFont"/>
    <w:rsid w:val="007C4C6A"/>
  </w:style>
  <w:style w:type="character" w:styleId="Hyperlink">
    <w:name w:val="Hyperlink"/>
    <w:basedOn w:val="DefaultParagraphFont"/>
    <w:uiPriority w:val="99"/>
    <w:unhideWhenUsed/>
    <w:rsid w:val="00100D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0D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eics.sharepoint.com/sites/fivetothrivefamilyhelp/Shared%20Documents/03%20Phase%201%20-%20Family%20Help%200-19%20(Sept%202024%20-%20March%202025)/resources/FamilyHubsleicestershire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3987BA61ACD4A8C92E5D9F5A6DD95" ma:contentTypeVersion="12" ma:contentTypeDescription="Create a new document." ma:contentTypeScope="" ma:versionID="6feeb0b6f7a7eec010130bfb52e2161e">
  <xsd:schema xmlns:xsd="http://www.w3.org/2001/XMLSchema" xmlns:xs="http://www.w3.org/2001/XMLSchema" xmlns:p="http://schemas.microsoft.com/office/2006/metadata/properties" xmlns:ns2="231fdf03-1ae0-4177-bf61-f1e198d188be" xmlns:ns3="1cdc2082-3fc6-4991-8488-7fcf2cda8bb4" targetNamespace="http://schemas.microsoft.com/office/2006/metadata/properties" ma:root="true" ma:fieldsID="8107d37fcfb9fb114922d49b0fb9a88a" ns2:_="" ns3:_="">
    <xsd:import namespace="231fdf03-1ae0-4177-bf61-f1e198d188be"/>
    <xsd:import namespace="1cdc2082-3fc6-4991-8488-7fcf2cda8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fdf03-1ae0-4177-bf61-f1e198d18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e794beb-b8d9-4064-9297-55232fcc8c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c2082-3fc6-4991-8488-7fcf2cda8bb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695ea05-4dec-4ac0-81ce-a0200b01121d}" ma:internalName="TaxCatchAll" ma:showField="CatchAllData" ma:web="1cdc2082-3fc6-4991-8488-7fcf2cda8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dc2082-3fc6-4991-8488-7fcf2cda8bb4" xsi:nil="true"/>
    <lcf76f155ced4ddcb4097134ff3c332f xmlns="231fdf03-1ae0-4177-bf61-f1e198d188b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6B296B-C8B7-4C0C-8AB4-B01DD47C9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1fdf03-1ae0-4177-bf61-f1e198d188be"/>
    <ds:schemaRef ds:uri="1cdc2082-3fc6-4991-8488-7fcf2cda8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2C9057-3CFF-4982-8694-F36CE5128DF8}">
  <ds:schemaRefs>
    <ds:schemaRef ds:uri="http://schemas.microsoft.com/office/2006/metadata/properties"/>
    <ds:schemaRef ds:uri="http://schemas.microsoft.com/office/infopath/2007/PartnerControls"/>
    <ds:schemaRef ds:uri="1cdc2082-3fc6-4991-8488-7fcf2cda8bb4"/>
    <ds:schemaRef ds:uri="231fdf03-1ae0-4177-bf61-f1e198d188be"/>
  </ds:schemaRefs>
</ds:datastoreItem>
</file>

<file path=customXml/itemProps3.xml><?xml version="1.0" encoding="utf-8"?>
<ds:datastoreItem xmlns:ds="http://schemas.openxmlformats.org/officeDocument/2006/customXml" ds:itemID="{10A57380-8173-4379-A555-897BFA06DA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275</Words>
  <Characters>1589</Characters>
  <Application>Microsoft Office Word</Application>
  <DocSecurity>0</DocSecurity>
  <Lines>31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Downing</dc:creator>
  <cp:keywords/>
  <dc:description/>
  <cp:lastModifiedBy>Hayley Downing</cp:lastModifiedBy>
  <cp:revision>1</cp:revision>
  <dcterms:created xsi:type="dcterms:W3CDTF">2025-10-27T10:52:00Z</dcterms:created>
  <dcterms:modified xsi:type="dcterms:W3CDTF">2025-10-27T16:23:00Z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0x010100B423987BA61ACD4A8C92E5D9F5A6DD95</vt:lpwstr>
  </property>
</Properties>
</file>